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A1" w:rsidRDefault="00013C93">
      <w:pPr>
        <w:jc w:val="center"/>
        <w:rPr>
          <w:rFonts w:ascii="Book Antiqua" w:hAnsi="Book Antiqua"/>
          <w:b/>
          <w:bCs/>
          <w:i/>
          <w:iCs/>
          <w:u w:val="single"/>
        </w:rPr>
      </w:pPr>
      <w:r>
        <w:rPr>
          <w:rFonts w:ascii="Book Antiqua" w:hAnsi="Book Antiqua"/>
          <w:b/>
          <w:bCs/>
          <w:i/>
          <w:iCs/>
          <w:u w:val="single"/>
        </w:rPr>
        <w:t>Taller</w:t>
      </w:r>
      <w:bookmarkStart w:id="0" w:name="_GoBack"/>
      <w:bookmarkEnd w:id="0"/>
      <w:r w:rsidR="00E20840">
        <w:rPr>
          <w:rFonts w:ascii="Book Antiqua" w:hAnsi="Book Antiqua"/>
          <w:b/>
          <w:bCs/>
          <w:i/>
          <w:iCs/>
          <w:u w:val="single"/>
        </w:rPr>
        <w:t xml:space="preserve"> de Danza Oriental aplicado al trabajo corporal y emocional</w:t>
      </w:r>
    </w:p>
    <w:p w:rsidR="006F0CA1" w:rsidRDefault="006F0CA1">
      <w:pPr>
        <w:jc w:val="center"/>
        <w:rPr>
          <w:rFonts w:ascii="Book Antiqua" w:hAnsi="Book Antiqua"/>
          <w:b/>
          <w:bCs/>
          <w:i/>
          <w:iCs/>
          <w:u w:val="single"/>
        </w:rPr>
      </w:pPr>
    </w:p>
    <w:p w:rsidR="006F0CA1" w:rsidRDefault="00E20840">
      <w:pPr>
        <w:ind w:firstLine="708"/>
        <w:jc w:val="both"/>
        <w:rPr>
          <w:rFonts w:ascii="Book Antiqua" w:hAnsi="Book Antiqua"/>
        </w:rPr>
      </w:pPr>
      <w:r>
        <w:rPr>
          <w:rFonts w:ascii="Book Antiqua" w:hAnsi="Book Antiqua"/>
        </w:rPr>
        <w:t xml:space="preserve">A partir de septiembre del 2026, planteamos ofrecer unas sesiones con la frecuencia a concretar, dirigidas a las participantes femeninas del PAFE. Si bien el objetivo de trabajo prioritario será ofrecer otra herramienta o recurso a las niñas o adolescentes que atendemos para mejorar su calidad de vida en general y a sus madres de acogida, cualquier otra persona que quiera descubrir los beneficios de esta danza será bienvenida (madres acogedoras de chicos, hermanas de acogida o técnicas del equipo). </w:t>
      </w:r>
    </w:p>
    <w:p w:rsidR="006F0CA1" w:rsidRDefault="006F0CA1">
      <w:pPr>
        <w:ind w:firstLine="708"/>
        <w:jc w:val="both"/>
        <w:rPr>
          <w:rFonts w:ascii="Book Antiqua" w:hAnsi="Book Antiqua"/>
        </w:rPr>
      </w:pPr>
    </w:p>
    <w:p w:rsidR="006F0CA1" w:rsidRDefault="00E20840">
      <w:pPr>
        <w:ind w:firstLine="708"/>
        <w:jc w:val="both"/>
        <w:rPr>
          <w:rFonts w:ascii="Book Antiqua" w:hAnsi="Book Antiqua"/>
        </w:rPr>
      </w:pPr>
      <w:r>
        <w:rPr>
          <w:rFonts w:ascii="Book Antiqua" w:hAnsi="Book Antiqua"/>
        </w:rPr>
        <w:t xml:space="preserve">Los objetivos a corto y a medio plazo serán los siguientes: </w:t>
      </w:r>
    </w:p>
    <w:p w:rsidR="006F0CA1" w:rsidRDefault="00E20840">
      <w:pPr>
        <w:pStyle w:val="Prrafodelista"/>
        <w:numPr>
          <w:ilvl w:val="0"/>
          <w:numId w:val="1"/>
        </w:numPr>
        <w:jc w:val="both"/>
        <w:rPr>
          <w:rFonts w:ascii="Book Antiqua" w:hAnsi="Book Antiqua"/>
        </w:rPr>
      </w:pPr>
      <w:r>
        <w:rPr>
          <w:rFonts w:ascii="Book Antiqua" w:hAnsi="Book Antiqua"/>
        </w:rPr>
        <w:t xml:space="preserve">Aprender a sentir el cuerpo, especialmente ciertas zonas bloqueadas. </w:t>
      </w:r>
    </w:p>
    <w:p w:rsidR="006F0CA1" w:rsidRDefault="00E20840">
      <w:pPr>
        <w:pStyle w:val="Prrafodelista"/>
        <w:numPr>
          <w:ilvl w:val="0"/>
          <w:numId w:val="1"/>
        </w:numPr>
        <w:jc w:val="both"/>
        <w:rPr>
          <w:rFonts w:ascii="Book Antiqua" w:hAnsi="Book Antiqua"/>
        </w:rPr>
      </w:pPr>
      <w:r>
        <w:rPr>
          <w:rFonts w:ascii="Book Antiqua" w:hAnsi="Book Antiqua"/>
        </w:rPr>
        <w:t xml:space="preserve">Gestionar las emociones mediante el desbloqueo y control corporal. </w:t>
      </w:r>
    </w:p>
    <w:p w:rsidR="006F0CA1" w:rsidRDefault="00E20840">
      <w:pPr>
        <w:pStyle w:val="Prrafodelista"/>
        <w:numPr>
          <w:ilvl w:val="0"/>
          <w:numId w:val="1"/>
        </w:numPr>
        <w:jc w:val="both"/>
        <w:rPr>
          <w:rFonts w:ascii="Book Antiqua" w:hAnsi="Book Antiqua"/>
        </w:rPr>
      </w:pPr>
      <w:r>
        <w:rPr>
          <w:rFonts w:ascii="Book Antiqua" w:hAnsi="Book Antiqua"/>
        </w:rPr>
        <w:t xml:space="preserve">Abrir la posibilidad de expresar con el cuerpo lo que no se puede con palabras. </w:t>
      </w:r>
    </w:p>
    <w:p w:rsidR="006F0CA1" w:rsidRDefault="00E20840">
      <w:pPr>
        <w:pStyle w:val="Prrafodelista"/>
        <w:numPr>
          <w:ilvl w:val="0"/>
          <w:numId w:val="1"/>
        </w:numPr>
        <w:jc w:val="both"/>
        <w:rPr>
          <w:rFonts w:ascii="Book Antiqua" w:hAnsi="Book Antiqua"/>
        </w:rPr>
      </w:pPr>
      <w:r>
        <w:rPr>
          <w:rFonts w:ascii="Book Antiqua" w:hAnsi="Book Antiqua"/>
        </w:rPr>
        <w:t xml:space="preserve">Modificar progresivamente la postura corporal. </w:t>
      </w:r>
    </w:p>
    <w:p w:rsidR="006F0CA1" w:rsidRDefault="00E20840">
      <w:pPr>
        <w:pStyle w:val="Prrafodelista"/>
        <w:numPr>
          <w:ilvl w:val="0"/>
          <w:numId w:val="1"/>
        </w:numPr>
        <w:jc w:val="both"/>
        <w:rPr>
          <w:rFonts w:ascii="Book Antiqua" w:hAnsi="Book Antiqua"/>
        </w:rPr>
      </w:pPr>
      <w:r>
        <w:rPr>
          <w:rFonts w:ascii="Book Antiqua" w:hAnsi="Book Antiqua"/>
        </w:rPr>
        <w:t>Trabajar los beneficios físicos de este tipo de baile concreto y de la danza en general: Menstruación, tonificación del suelo pélvico, dolores de espalda, problemas de tránsito intestinal, respiración, coordinación, equilibrio, fuerza…</w:t>
      </w:r>
    </w:p>
    <w:p w:rsidR="006F0CA1" w:rsidRDefault="00E20840">
      <w:pPr>
        <w:pStyle w:val="Prrafodelista"/>
        <w:numPr>
          <w:ilvl w:val="0"/>
          <w:numId w:val="1"/>
        </w:numPr>
        <w:jc w:val="both"/>
        <w:rPr>
          <w:rFonts w:ascii="Book Antiqua" w:hAnsi="Book Antiqua"/>
        </w:rPr>
      </w:pPr>
      <w:r>
        <w:rPr>
          <w:rFonts w:ascii="Book Antiqua" w:hAnsi="Book Antiqua"/>
        </w:rPr>
        <w:t xml:space="preserve">Mejora progresiva de la autoestima, confianza…En resumen, adquirir herramientas para enfrentarse a diferentes inseguridades. </w:t>
      </w:r>
    </w:p>
    <w:p w:rsidR="006F0CA1" w:rsidRDefault="00E20840">
      <w:pPr>
        <w:pStyle w:val="Prrafodelista"/>
        <w:numPr>
          <w:ilvl w:val="0"/>
          <w:numId w:val="1"/>
        </w:numPr>
        <w:jc w:val="both"/>
        <w:rPr>
          <w:rFonts w:ascii="Book Antiqua" w:hAnsi="Book Antiqua"/>
        </w:rPr>
      </w:pPr>
      <w:r>
        <w:rPr>
          <w:rFonts w:ascii="Book Antiqua" w:hAnsi="Book Antiqua"/>
        </w:rPr>
        <w:t>Conciencia del espacio.</w:t>
      </w:r>
    </w:p>
    <w:p w:rsidR="006F0CA1" w:rsidRDefault="00E20840">
      <w:pPr>
        <w:pStyle w:val="Prrafodelista"/>
        <w:numPr>
          <w:ilvl w:val="0"/>
          <w:numId w:val="1"/>
        </w:numPr>
        <w:jc w:val="both"/>
        <w:rPr>
          <w:rFonts w:ascii="Book Antiqua" w:hAnsi="Book Antiqua"/>
        </w:rPr>
      </w:pPr>
      <w:r>
        <w:rPr>
          <w:rFonts w:ascii="Book Antiqua" w:hAnsi="Book Antiqua"/>
        </w:rPr>
        <w:t xml:space="preserve">Manejar la sexualidad desde el empoderamiento del cuerpo de una misma, alejándonos de estereotipos, cosificación y la mera estética. </w:t>
      </w:r>
    </w:p>
    <w:p w:rsidR="006F0CA1" w:rsidRDefault="00E20840">
      <w:pPr>
        <w:ind w:left="708"/>
        <w:jc w:val="both"/>
        <w:rPr>
          <w:rFonts w:ascii="Book Antiqua" w:hAnsi="Book Antiqua"/>
        </w:rPr>
      </w:pPr>
      <w:r>
        <w:rPr>
          <w:rFonts w:ascii="Book Antiqua" w:hAnsi="Book Antiqua"/>
        </w:rPr>
        <w:t xml:space="preserve">Todo ello se llevará a cabo en sesiones de una hora y media o dos. La frecuencia se acordará entre las participantes si bien la ideal sería semanal. Existe el planteamiento de hacer una especie de muestra de fin de curso en la Topaketa del siguiente año. </w:t>
      </w:r>
    </w:p>
    <w:p w:rsidR="008216A7" w:rsidRDefault="008216A7">
      <w:pPr>
        <w:ind w:left="708"/>
        <w:jc w:val="both"/>
        <w:rPr>
          <w:rFonts w:ascii="Book Antiqua" w:hAnsi="Book Antiqua"/>
        </w:rPr>
      </w:pPr>
    </w:p>
    <w:p w:rsidR="008216A7" w:rsidRPr="008216A7" w:rsidRDefault="008216A7" w:rsidP="008216A7">
      <w:pPr>
        <w:jc w:val="center"/>
        <w:rPr>
          <w:rFonts w:eastAsia="Times New Roman"/>
          <w:sz w:val="28"/>
        </w:rPr>
      </w:pPr>
    </w:p>
    <w:p w:rsidR="008216A7" w:rsidRPr="008216A7" w:rsidRDefault="0078792F" w:rsidP="008216A7">
      <w:pPr>
        <w:jc w:val="center"/>
        <w:rPr>
          <w:rFonts w:eastAsia="Times New Roman"/>
          <w:sz w:val="28"/>
        </w:rPr>
      </w:pPr>
      <w:hyperlink r:id="rId7" w:history="1">
        <w:r w:rsidR="008216A7" w:rsidRPr="008216A7">
          <w:rPr>
            <w:rStyle w:val="Hipervnculo"/>
            <w:rFonts w:ascii="Arial" w:hAnsi="Arial" w:cs="Arial"/>
            <w:szCs w:val="18"/>
          </w:rPr>
          <w:t>https://view.genially.com/6989fa765f9ac32a9b9df12d/interactive-content-curso-de-danza-oriental-aplicado-al-trabajo-corporal-y-emocional</w:t>
        </w:r>
      </w:hyperlink>
    </w:p>
    <w:p w:rsidR="008216A7" w:rsidRDefault="008216A7">
      <w:pPr>
        <w:ind w:left="708"/>
        <w:jc w:val="both"/>
      </w:pPr>
    </w:p>
    <w:sectPr w:rsidR="008216A7">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92F" w:rsidRDefault="0078792F">
      <w:pPr>
        <w:spacing w:after="0" w:line="240" w:lineRule="auto"/>
      </w:pPr>
      <w:r>
        <w:separator/>
      </w:r>
    </w:p>
  </w:endnote>
  <w:endnote w:type="continuationSeparator" w:id="0">
    <w:p w:rsidR="0078792F" w:rsidRDefault="0078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92F" w:rsidRDefault="0078792F">
      <w:pPr>
        <w:spacing w:after="0" w:line="240" w:lineRule="auto"/>
      </w:pPr>
      <w:r>
        <w:rPr>
          <w:color w:val="000000"/>
        </w:rPr>
        <w:separator/>
      </w:r>
    </w:p>
  </w:footnote>
  <w:footnote w:type="continuationSeparator" w:id="0">
    <w:p w:rsidR="0078792F" w:rsidRDefault="00787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8383A"/>
    <w:multiLevelType w:val="multilevel"/>
    <w:tmpl w:val="AFDC2A3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A1"/>
    <w:rsid w:val="00013C93"/>
    <w:rsid w:val="006F0CA1"/>
    <w:rsid w:val="0078792F"/>
    <w:rsid w:val="008216A7"/>
    <w:rsid w:val="00AB5203"/>
    <w:rsid w:val="00E208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22CB"/>
  <w15:docId w15:val="{28C13582-1671-4FF6-83DD-914AAEF0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s-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Normal"/>
    <w:next w:val="Normal"/>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pPr>
      <w:keepNext/>
      <w:keepLines/>
      <w:spacing w:before="160" w:after="80"/>
      <w:outlineLvl w:val="2"/>
    </w:pPr>
    <w:rPr>
      <w:rFonts w:eastAsia="Times New Roman"/>
      <w:color w:val="2F5496"/>
      <w:sz w:val="28"/>
      <w:szCs w:val="28"/>
    </w:rPr>
  </w:style>
  <w:style w:type="paragraph" w:styleId="Ttulo4">
    <w:name w:val="heading 4"/>
    <w:basedOn w:val="Normal"/>
    <w:next w:val="Normal"/>
    <w:pPr>
      <w:keepNext/>
      <w:keepLines/>
      <w:spacing w:before="80" w:after="40"/>
      <w:outlineLvl w:val="3"/>
    </w:pPr>
    <w:rPr>
      <w:rFonts w:eastAsia="Times New Roman"/>
      <w:i/>
      <w:iCs/>
      <w:color w:val="2F5496"/>
    </w:rPr>
  </w:style>
  <w:style w:type="paragraph" w:styleId="Ttulo5">
    <w:name w:val="heading 5"/>
    <w:basedOn w:val="Normal"/>
    <w:next w:val="Normal"/>
    <w:pPr>
      <w:keepNext/>
      <w:keepLines/>
      <w:spacing w:before="80" w:after="40"/>
      <w:outlineLvl w:val="4"/>
    </w:pPr>
    <w:rPr>
      <w:rFonts w:eastAsia="Times New Roman"/>
      <w:color w:val="2F5496"/>
    </w:rPr>
  </w:style>
  <w:style w:type="paragraph" w:styleId="Ttulo6">
    <w:name w:val="heading 6"/>
    <w:basedOn w:val="Normal"/>
    <w:next w:val="Normal"/>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Calibri Light" w:eastAsia="Times New Roman" w:hAnsi="Calibri Light" w:cs="Times New Roman"/>
      <w:color w:val="2F5496"/>
      <w:sz w:val="40"/>
      <w:szCs w:val="40"/>
    </w:rPr>
  </w:style>
  <w:style w:type="character" w:customStyle="1" w:styleId="Ttulo2Car">
    <w:name w:val="Título 2 Car"/>
    <w:basedOn w:val="Fuentedeprrafopredeter"/>
    <w:rPr>
      <w:rFonts w:ascii="Calibri Light" w:eastAsia="Times New Roman" w:hAnsi="Calibri Light" w:cs="Times New Roman"/>
      <w:color w:val="2F5496"/>
      <w:sz w:val="32"/>
      <w:szCs w:val="32"/>
    </w:rPr>
  </w:style>
  <w:style w:type="character" w:customStyle="1" w:styleId="Ttulo3Car">
    <w:name w:val="Título 3 Car"/>
    <w:basedOn w:val="Fuentedeprrafopredeter"/>
    <w:rPr>
      <w:rFonts w:eastAsia="Times New Roman" w:cs="Times New Roman"/>
      <w:color w:val="2F5496"/>
      <w:sz w:val="28"/>
      <w:szCs w:val="28"/>
    </w:rPr>
  </w:style>
  <w:style w:type="character" w:customStyle="1" w:styleId="Ttulo4Car">
    <w:name w:val="Título 4 Car"/>
    <w:basedOn w:val="Fuentedeprrafopredeter"/>
    <w:rPr>
      <w:rFonts w:eastAsia="Times New Roman" w:cs="Times New Roman"/>
      <w:i/>
      <w:iCs/>
      <w:color w:val="2F5496"/>
    </w:rPr>
  </w:style>
  <w:style w:type="character" w:customStyle="1" w:styleId="Ttulo5Car">
    <w:name w:val="Título 5 Car"/>
    <w:basedOn w:val="Fuentedeprrafopredeter"/>
    <w:rPr>
      <w:rFonts w:eastAsia="Times New Roman" w:cs="Times New Roman"/>
      <w:color w:val="2F5496"/>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pPr>
      <w:spacing w:after="80" w:line="240" w:lineRule="auto"/>
    </w:pPr>
    <w:rPr>
      <w:rFonts w:ascii="Calibri Light" w:eastAsia="Times New Roman" w:hAnsi="Calibri Light"/>
      <w:spacing w:val="-10"/>
      <w:sz w:val="56"/>
      <w:szCs w:val="56"/>
    </w:rPr>
  </w:style>
  <w:style w:type="character" w:customStyle="1" w:styleId="TtuloCar">
    <w:name w:val="Título Car"/>
    <w:basedOn w:val="Fuentedeprrafopredeter"/>
    <w:rPr>
      <w:rFonts w:ascii="Calibri Light" w:eastAsia="Times New Roman" w:hAnsi="Calibri Light" w:cs="Times New Roman"/>
      <w:spacing w:val="-10"/>
      <w:kern w:val="3"/>
      <w:sz w:val="56"/>
      <w:szCs w:val="56"/>
    </w:rPr>
  </w:style>
  <w:style w:type="paragraph" w:styleId="Subttulo">
    <w:name w:val="Subtitle"/>
    <w:basedOn w:val="Normal"/>
    <w:next w:val="Normal"/>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pPr>
  </w:style>
  <w:style w:type="character" w:styleId="nfasisintenso">
    <w:name w:val="Intense Emphasis"/>
    <w:basedOn w:val="Fuentedeprrafopredeter"/>
    <w:rPr>
      <w:i/>
      <w:iCs/>
      <w:color w:val="2F5496"/>
    </w:rPr>
  </w:style>
  <w:style w:type="paragraph" w:styleId="Citadestacada">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rPr>
      <w:i/>
      <w:iCs/>
      <w:color w:val="2F5496"/>
    </w:rPr>
  </w:style>
  <w:style w:type="character" w:styleId="Referenciaintensa">
    <w:name w:val="Intense Reference"/>
    <w:basedOn w:val="Fuentedeprrafopredeter"/>
    <w:rPr>
      <w:b/>
      <w:bCs/>
      <w:smallCaps/>
      <w:color w:val="2F5496"/>
      <w:spacing w:val="5"/>
    </w:rPr>
  </w:style>
  <w:style w:type="character" w:styleId="Hipervnculo">
    <w:name w:val="Hyperlink"/>
    <w:basedOn w:val="Fuentedeprrafopredeter"/>
    <w:uiPriority w:val="99"/>
    <w:semiHidden/>
    <w:unhideWhenUsed/>
    <w:rsid w:val="008216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01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w.genially.com/6989fa765f9ac32a9b9df12d/interactive-content-curso-de-danza-oriental-aplicado-al-trabajo-corporal-y-emoc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Aseginolaza agirretxe</dc:creator>
  <dc:description/>
  <cp:lastModifiedBy>Alberto Rodriguez González</cp:lastModifiedBy>
  <cp:revision>3</cp:revision>
  <dcterms:created xsi:type="dcterms:W3CDTF">2026-02-09T21:30:00Z</dcterms:created>
  <dcterms:modified xsi:type="dcterms:W3CDTF">2026-02-14T23:07:00Z</dcterms:modified>
</cp:coreProperties>
</file>